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F1A14"/>
          <w:sz w:val="44"/>
        </w:rPr>
        <w:t>CULTIVATED RECURRING REVENUE</w:t>
      </w:r>
    </w:p>
    <w:p>
      <w:pPr>
        <w:spacing w:after="120"/>
        <w:jc w:val="center"/>
      </w:pPr>
      <w:r>
        <w:rPr>
          <w:b w:val="0"/>
          <w:color w:val="7A6F5A"/>
          <w:sz w:val="20"/>
        </w:rPr>
        <w:t>A decision instrument for the North American farm</w:t>
      </w:r>
    </w:p>
    <w:p>
      <w:pPr>
        <w:spacing w:after="200"/>
        <w:jc w:val="center"/>
      </w:pPr>
      <w:r>
        <w:rPr>
          <w:b w:val="0"/>
          <w:color w:val="7A6F5A"/>
          <w:sz w:val="18"/>
        </w:rPr>
        <w:t>BAU Farm Intelligence  ·  SaaS One-Pager  ·  FY26 Q2  ·  Seed / $1.25M SAFE</w:t>
      </w:r>
    </w:p>
    <w:p>
      <w:pPr>
        <w:spacing w:after="80"/>
      </w:pPr>
      <w:r>
        <w:rPr>
          <w:b/>
          <w:color w:val="1F1A14"/>
          <w:sz w:val="22"/>
        </w:rPr>
        <w:t>KEY PERFORMANCE INDICATORS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val="clear" w:color="auto" w:fill="EDE6D3"/>
          </w:tcPr>
          <w:p>
            <w:pPr>
              <w:spacing w:after="40"/>
            </w:pPr>
            <w:r/>
            <w:r>
              <w:rPr>
                <w:b/>
                <w:color w:val="1F1A14"/>
                <w:sz w:val="16"/>
              </w:rPr>
              <w:t>K01 — ARR  ·  Y3 BASE</w:t>
            </w:r>
          </w:p>
          <w:p>
            <w:pPr>
              <w:spacing w:after="40"/>
            </w:pPr>
            <w:r>
              <w:rPr>
                <w:b/>
                <w:color w:val="1F1A14"/>
                <w:sz w:val="44"/>
              </w:rPr>
              <w:t>$2.0M</w:t>
            </w:r>
          </w:p>
          <w:p>
            <w:pPr>
              <w:spacing w:after="40"/>
            </w:pPr>
            <w:r>
              <w:rPr>
                <w:b/>
                <w:color w:val="E2511C"/>
                <w:sz w:val="18"/>
              </w:rPr>
              <w:t>+148% YoY</w:t>
            </w:r>
          </w:p>
          <w:p>
            <w:pPr>
              <w:spacing w:after="40"/>
            </w:pPr>
            <w:r>
              <w:rPr>
                <w:b w:val="0"/>
                <w:color w:val="1F1A14"/>
                <w:sz w:val="18"/>
              </w:rPr>
              <w:t>DEF  ANNUAL RECURRING REVENUE: CONTRACTED SUBS, ANNUALIZED.</w:t>
            </w:r>
          </w:p>
          <w:p>
            <w:pPr>
              <w:spacing w:after="40"/>
            </w:pPr>
            <w:r>
              <w:rPr>
                <w:b w:val="0"/>
                <w:color w:val="7A6F5A"/>
                <w:sz w:val="16"/>
              </w:rPr>
              <w:t>$0.08M Y1  ·  $0.62M Y2  ·  $2.0M Y3</w:t>
            </w:r>
          </w:p>
        </w:tc>
        <w:tc>
          <w:tcPr>
            <w:tcW w:type="dxa" w:w="5112"/>
            <w:shd w:val="clear" w:color="auto" w:fill="EDE6D3"/>
          </w:tcPr>
          <w:p>
            <w:pPr>
              <w:spacing w:after="40"/>
            </w:pPr>
            <w:r/>
            <w:r>
              <w:rPr>
                <w:b/>
                <w:color w:val="1F1A14"/>
                <w:sz w:val="16"/>
              </w:rPr>
              <w:t>K02 — NET REVENUE RETENTION</w:t>
            </w:r>
          </w:p>
          <w:p>
            <w:pPr>
              <w:spacing w:after="40"/>
            </w:pPr>
            <w:r>
              <w:rPr>
                <w:b/>
                <w:color w:val="1F1A14"/>
                <w:sz w:val="44"/>
              </w:rPr>
              <w:t>118%</w:t>
            </w:r>
          </w:p>
          <w:p>
            <w:pPr>
              <w:spacing w:after="40"/>
            </w:pPr>
            <w:r>
              <w:rPr>
                <w:b/>
                <w:color w:val="E2511C"/>
                <w:sz w:val="18"/>
              </w:rPr>
              <w:t>EXPANSION  &gt;  CHURN</w:t>
            </w:r>
          </w:p>
          <w:p>
            <w:pPr>
              <w:spacing w:after="40"/>
            </w:pPr>
            <w:r>
              <w:rPr>
                <w:b w:val="0"/>
                <w:color w:val="1F1A14"/>
                <w:sz w:val="18"/>
              </w:rPr>
              <w:t>DEF  $ FROM PRIOR COHORT + UPSELL - CHURN - DOWNGRADES.</w:t>
            </w:r>
          </w:p>
          <w:p>
            <w:pPr>
              <w:spacing w:after="40"/>
            </w:pPr>
            <w:r>
              <w:rPr>
                <w:b w:val="0"/>
                <w:color w:val="7A6F5A"/>
                <w:sz w:val="16"/>
              </w:rPr>
              <w:t>UPSELL &gt; CHURN  ·  &gt;110% TARGET</w:t>
            </w:r>
          </w:p>
        </w:tc>
      </w:tr>
      <w:tr>
        <w:tc>
          <w:tcPr>
            <w:tcW w:type="dxa" w:w="5112"/>
            <w:shd w:val="clear" w:color="auto" w:fill="EDE6D3"/>
          </w:tcPr>
          <w:p>
            <w:pPr>
              <w:spacing w:after="40"/>
            </w:pPr>
            <w:r/>
            <w:r>
              <w:rPr>
                <w:b/>
                <w:color w:val="1F1A14"/>
                <w:sz w:val="16"/>
              </w:rPr>
              <w:t>K03 — GROSS LOGO RETENTION</w:t>
            </w:r>
          </w:p>
          <w:p>
            <w:pPr>
              <w:spacing w:after="40"/>
            </w:pPr>
            <w:r>
              <w:rPr>
                <w:b/>
                <w:color w:val="1F1A14"/>
                <w:sz w:val="44"/>
              </w:rPr>
              <w:t>92%</w:t>
            </w:r>
          </w:p>
          <w:p>
            <w:pPr>
              <w:spacing w:after="40"/>
            </w:pPr>
            <w:r>
              <w:rPr>
                <w:b/>
                <w:color w:val="E2511C"/>
                <w:sz w:val="18"/>
              </w:rPr>
              <w:t>8%  ANNUAL CHURN</w:t>
            </w:r>
          </w:p>
          <w:p>
            <w:pPr>
              <w:spacing w:after="40"/>
            </w:pPr>
            <w:r>
              <w:rPr>
                <w:b w:val="0"/>
                <w:color w:val="1F1A14"/>
                <w:sz w:val="18"/>
              </w:rPr>
              <w:t>DEF  % OF FARMS RETAINED YoY, BEFORE EXPANSION REVENUE.</w:t>
            </w:r>
          </w:p>
          <w:p>
            <w:pPr>
              <w:spacing w:after="40"/>
            </w:pPr>
            <w:r>
              <w:rPr>
                <w:b w:val="0"/>
                <w:color w:val="7A6F5A"/>
                <w:sz w:val="16"/>
              </w:rPr>
              <w:t>OPERATOR TIER  ·  BENCH 85-90%</w:t>
            </w:r>
          </w:p>
        </w:tc>
        <w:tc>
          <w:tcPr>
            <w:tcW w:type="dxa" w:w="5112"/>
            <w:shd w:val="clear" w:color="auto" w:fill="EDE6D3"/>
          </w:tcPr>
          <w:p>
            <w:pPr>
              <w:spacing w:after="40"/>
            </w:pPr>
            <w:r/>
            <w:r>
              <w:rPr>
                <w:b/>
                <w:color w:val="1F1A14"/>
                <w:sz w:val="16"/>
              </w:rPr>
              <w:t>K04 — PAYING FARMS GROWTH</w:t>
            </w:r>
          </w:p>
          <w:p>
            <w:pPr>
              <w:spacing w:after="40"/>
            </w:pPr>
            <w:r>
              <w:rPr>
                <w:b/>
                <w:color w:val="1F1A14"/>
                <w:sz w:val="44"/>
              </w:rPr>
              <w:t>+14% / mo</w:t>
            </w:r>
          </w:p>
          <w:p>
            <w:pPr>
              <w:spacing w:after="40"/>
            </w:pPr>
            <w:r>
              <w:rPr>
                <w:b/>
                <w:color w:val="E2511C"/>
                <w:sz w:val="18"/>
              </w:rPr>
              <w:t>250  &gt;  3,500 FARMS</w:t>
            </w:r>
          </w:p>
          <w:p>
            <w:pPr>
              <w:spacing w:after="40"/>
            </w:pPr>
            <w:r>
              <w:rPr>
                <w:b w:val="0"/>
                <w:color w:val="1F1A14"/>
                <w:sz w:val="18"/>
              </w:rPr>
              <w:t>DEF  COMPOUND MONTHLY GROWTH OF PAID LOGOS, 36-MO WINDOW.</w:t>
            </w:r>
          </w:p>
          <w:p>
            <w:pPr>
              <w:spacing w:after="40"/>
            </w:pPr>
            <w:r>
              <w:rPr>
                <w:b w:val="0"/>
                <w:color w:val="7A6F5A"/>
                <w:sz w:val="16"/>
              </w:rPr>
              <w:t>Y1 250  ·  Y2 1,200  ·  Y3 3,500</w:t>
            </w:r>
          </w:p>
        </w:tc>
      </w:tr>
    </w:tbl>
    <w:p/>
    <w:p>
      <w:pPr>
        <w:spacing w:after="40"/>
      </w:pPr>
      <w:r>
        <w:rPr>
          <w:b/>
          <w:color w:val="1F1A14"/>
          <w:sz w:val="22"/>
        </w:rPr>
        <w:t>ASSUMPTIONS  &amp;  DEFINITIONS</w:t>
      </w:r>
    </w:p>
    <w:p>
      <w:pPr>
        <w:spacing w:after="120"/>
      </w:pPr>
      <w:r>
        <w:rPr>
          <w:b w:val="0"/>
          <w:color w:val="7A6F5A"/>
          <w:sz w:val="16"/>
        </w:rPr>
        <w:t>SOURCE: BAU FINANCIAL MODEL  ·  Y3 BASE SCENARIO  ·  UNAUDITED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008"/>
            <w:shd w:val="clear" w:color="auto" w:fill="EDE6D3"/>
          </w:tcPr>
          <w:p>
            <w:r/>
            <w:r>
              <w:rPr>
                <w:b/>
                <w:color w:val="1F1A14"/>
                <w:sz w:val="18"/>
              </w:rPr>
              <w:t>Metric</w:t>
            </w:r>
          </w:p>
        </w:tc>
        <w:tc>
          <w:tcPr>
            <w:tcW w:type="dxa" w:w="2736"/>
            <w:shd w:val="clear" w:color="auto" w:fill="EDE6D3"/>
          </w:tcPr>
          <w:p>
            <w:r/>
            <w:r>
              <w:rPr>
                <w:b/>
                <w:color w:val="1F1A14"/>
                <w:sz w:val="18"/>
              </w:rPr>
              <w:t>Definition</w:t>
            </w:r>
          </w:p>
        </w:tc>
        <w:tc>
          <w:tcPr>
            <w:tcW w:type="dxa" w:w="3744"/>
            <w:shd w:val="clear" w:color="auto" w:fill="EDE6D3"/>
          </w:tcPr>
          <w:p>
            <w:r/>
            <w:r>
              <w:rPr>
                <w:b/>
                <w:color w:val="1F1A14"/>
                <w:sz w:val="18"/>
              </w:rPr>
              <w:t>Formula</w:t>
            </w:r>
          </w:p>
        </w:tc>
        <w:tc>
          <w:tcPr>
            <w:tcW w:type="dxa" w:w="2736"/>
            <w:shd w:val="clear" w:color="auto" w:fill="EDE6D3"/>
          </w:tcPr>
          <w:p>
            <w:r/>
            <w:r>
              <w:rPr>
                <w:b/>
                <w:color w:val="1F1A14"/>
                <w:sz w:val="18"/>
              </w:rPr>
              <w:t>Assumption</w:t>
            </w:r>
          </w:p>
        </w:tc>
      </w:tr>
      <w:tr>
        <w:tc>
          <w:tcPr>
            <w:tcW w:type="dxa" w:w="1008"/>
          </w:tcPr>
          <w:p>
            <w:r/>
            <w:r>
              <w:rPr>
                <w:b/>
                <w:color w:val="1F1A14"/>
                <w:sz w:val="18"/>
              </w:rPr>
              <w:t>ARR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Annual Recurring Revenue.</w:t>
            </w:r>
          </w:p>
        </w:tc>
        <w:tc>
          <w:tcPr>
            <w:tcW w:type="dxa" w:w="3744"/>
          </w:tcPr>
          <w:p>
            <w:r/>
            <w:r>
              <w:rPr>
                <w:rFonts w:ascii="Consolas" w:hAnsi="Consolas"/>
                <w:b/>
                <w:color w:val="1F1A14"/>
                <w:sz w:val="18"/>
              </w:rPr>
              <w:t>ARR = Paying Farms x Blended ARPA x 12 mo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3,500 x $457 x 12 = $2.0M. Excl. setup, services, GMV take.</w:t>
            </w:r>
          </w:p>
        </w:tc>
      </w:tr>
      <w:tr>
        <w:tc>
          <w:tcPr>
            <w:tcW w:type="dxa" w:w="1008"/>
          </w:tcPr>
          <w:p>
            <w:r/>
            <w:r>
              <w:rPr>
                <w:b/>
                <w:color w:val="1F1A14"/>
                <w:sz w:val="18"/>
              </w:rPr>
              <w:t>NRR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Net Revenue Retention.</w:t>
            </w:r>
          </w:p>
        </w:tc>
        <w:tc>
          <w:tcPr>
            <w:tcW w:type="dxa" w:w="3744"/>
          </w:tcPr>
          <w:p>
            <w:r/>
            <w:r>
              <w:rPr>
                <w:rFonts w:ascii="Consolas" w:hAnsi="Consolas"/>
                <w:b/>
                <w:color w:val="1F1A14"/>
                <w:sz w:val="18"/>
              </w:rPr>
              <w:t>NRR = (Start ARR + Expansion - Churn - Downgrade) / Start ARR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Trailing 12-mo cohort. Expansion = seat + acreage. Bench &gt;110%.</w:t>
            </w:r>
          </w:p>
        </w:tc>
      </w:tr>
      <w:tr>
        <w:tc>
          <w:tcPr>
            <w:tcW w:type="dxa" w:w="1008"/>
          </w:tcPr>
          <w:p>
            <w:r/>
            <w:r>
              <w:rPr>
                <w:b/>
                <w:color w:val="1F1A14"/>
                <w:sz w:val="18"/>
              </w:rPr>
              <w:t>GRR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Gross Logo Retention.</w:t>
            </w:r>
          </w:p>
        </w:tc>
        <w:tc>
          <w:tcPr>
            <w:tcW w:type="dxa" w:w="3744"/>
          </w:tcPr>
          <w:p>
            <w:r/>
            <w:r>
              <w:rPr>
                <w:rFonts w:ascii="Consolas" w:hAnsi="Consolas"/>
                <w:b/>
                <w:color w:val="1F1A14"/>
                <w:sz w:val="18"/>
              </w:rPr>
              <w:t>GRR = Retained Logos (t) / Logos (t-12mo)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8% annual logo churn, Operator tier. Vertical SaaS bench 85-90%.</w:t>
            </w:r>
          </w:p>
        </w:tc>
      </w:tr>
      <w:tr>
        <w:tc>
          <w:tcPr>
            <w:tcW w:type="dxa" w:w="1008"/>
          </w:tcPr>
          <w:p>
            <w:r/>
            <w:r>
              <w:rPr>
                <w:b/>
                <w:color w:val="1F1A14"/>
                <w:sz w:val="18"/>
              </w:rPr>
              <w:t>PFG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Paying-Farms Growth.</w:t>
            </w:r>
          </w:p>
        </w:tc>
        <w:tc>
          <w:tcPr>
            <w:tcW w:type="dxa" w:w="3744"/>
          </w:tcPr>
          <w:p>
            <w:r/>
            <w:r>
              <w:rPr>
                <w:rFonts w:ascii="Consolas" w:hAnsi="Consolas"/>
                <w:b/>
                <w:color w:val="1F1A14"/>
                <w:sz w:val="18"/>
              </w:rPr>
              <w:t>CMGR = (Farms_end / Farms_start)^(1/n) - 1   ;   n = months</w:t>
            </w:r>
          </w:p>
        </w:tc>
        <w:tc>
          <w:tcPr>
            <w:tcW w:type="dxa" w:w="2736"/>
          </w:tcPr>
          <w:p>
            <w:r/>
            <w:r>
              <w:rPr>
                <w:color w:val="1F1A14"/>
                <w:sz w:val="18"/>
              </w:rPr>
              <w:t>(3500/250)^(1/36) - 1 = 14%/mo. 250 &gt; 1,200 &gt; 3,500.</w:t>
            </w:r>
          </w:p>
        </w:tc>
      </w:tr>
    </w:tbl>
    <w:p/>
    <w:p>
      <w:pPr>
        <w:spacing w:after="80"/>
        <w:jc w:val="center"/>
      </w:pPr>
      <w:r>
        <w:rPr>
          <w:b w:val="0"/>
          <w:color w:val="7A6F5A"/>
          <w:sz w:val="16"/>
        </w:rPr>
        <w:t>FILED · BAU FARM INTELLIGENCE  ·  baufarmintelligence.com  ·  Veteran-Owned · SBA VOSB  ·  invest@baufarmintelligence.com</w:t>
      </w:r>
    </w:p>
    <w:sectPr w:rsidR="00FC693F" w:rsidRPr="0006063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